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B64" w:rsidRDefault="00224B64" w:rsidP="00224B64">
      <w:pPr>
        <w:rPr>
          <w:rFonts w:ascii="ＭＳ ゴシック" w:eastAsia="ＭＳ ゴシック" w:hAnsi="ＭＳ ゴシック"/>
          <w:sz w:val="72"/>
        </w:rPr>
      </w:pPr>
      <w:r>
        <w:rPr>
          <w:rFonts w:eastAsia="ＭＳ ゴシック" w:hint="eastAsia"/>
          <w:sz w:val="28"/>
        </w:rPr>
        <w:t>６月２５日（火）　予算特別委員会　　自民党　井上委員</w:t>
      </w:r>
    </w:p>
    <w:p w:rsidR="00224B64" w:rsidRDefault="00224B64" w:rsidP="00224B64">
      <w:pPr>
        <w:rPr>
          <w:rFonts w:ascii="ＭＳ 明朝" w:hint="eastAsia"/>
        </w:rPr>
      </w:pPr>
    </w:p>
    <w:p w:rsidR="00224B64" w:rsidRDefault="00224B64" w:rsidP="00224B64">
      <w:pPr>
        <w:rPr>
          <w:rFonts w:ascii="ＭＳ 明朝" w:hint="eastAsia"/>
          <w:color w:val="0070C0"/>
        </w:rPr>
      </w:pPr>
    </w:p>
    <w:p w:rsidR="00224B64" w:rsidRDefault="00224B64" w:rsidP="00224B64">
      <w:pPr>
        <w:rPr>
          <w:rFonts w:ascii="ＭＳ ゴシック" w:eastAsia="ＭＳ ゴシック" w:hAnsi="ＭＳ ゴシック" w:hint="eastAsia"/>
          <w:u w:val="single"/>
        </w:rPr>
      </w:pPr>
      <w:r>
        <w:rPr>
          <w:rFonts w:ascii="ＭＳ ゴシック" w:eastAsia="ＭＳ ゴシック" w:hAnsi="ＭＳ ゴシック" w:hint="eastAsia"/>
          <w:u w:val="single"/>
        </w:rPr>
        <w:t>問１　臨任講師の未配置問題について</w:t>
      </w:r>
    </w:p>
    <w:p w:rsidR="00224B64" w:rsidRDefault="00224B64" w:rsidP="00224B64">
      <w:pPr>
        <w:rPr>
          <w:rFonts w:ascii="ＭＳ ゴシック" w:eastAsia="ＭＳ ゴシック" w:hAnsi="ＭＳ ゴシック"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（１）４月当初、富山市の小中学校において、臨任講師が配置されないという事態が生じたが、４月当初と現在の未配置状況及び近年の臨任講師必要数の推移について、問う。</w:t>
      </w:r>
    </w:p>
    <w:p w:rsidR="00224B64" w:rsidRDefault="00224B64" w:rsidP="00224B64">
      <w:pPr>
        <w:rPr>
          <w:rFonts w:ascii="ＭＳ 明朝" w:hAnsi="ＭＳ 明朝" w:hint="eastAsia"/>
        </w:rPr>
      </w:pPr>
      <w:r>
        <w:rPr>
          <w:rFonts w:ascii="ＭＳ 明朝" w:hAnsi="ＭＳ 明朝" w:hint="eastAsia"/>
        </w:rPr>
        <w:t>（教育長）</w:t>
      </w: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 xml:space="preserve">　</w:t>
      </w: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（２）民間企業を含め、人材確保が厳しい中、非正規である臨任講師の確保が困難なことは想定されたことであり、新規採用教員を増やすべきであったと考えるがどうか、問う。</w:t>
      </w:r>
    </w:p>
    <w:p w:rsidR="00224B64" w:rsidRDefault="00224B64" w:rsidP="00224B64">
      <w:pPr>
        <w:rPr>
          <w:rFonts w:ascii="ＭＳ 明朝" w:hAnsi="ＭＳ 明朝" w:hint="eastAsia"/>
        </w:rPr>
      </w:pPr>
      <w:r>
        <w:rPr>
          <w:rFonts w:ascii="ＭＳ 明朝" w:hAnsi="ＭＳ 明朝" w:hint="eastAsia"/>
        </w:rPr>
        <w:t>（教育長）</w:t>
      </w:r>
    </w:p>
    <w:p w:rsidR="00224B64" w:rsidRDefault="00224B64" w:rsidP="00224B64">
      <w:pPr>
        <w:rPr>
          <w:rFonts w:ascii="ＭＳ ゴシック" w:eastAsia="ＭＳ ゴシック" w:hAnsi="ＭＳ ゴシック"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（３）</w:t>
      </w:r>
      <w:bookmarkStart w:id="0" w:name="_Hlk11873407"/>
      <w:r>
        <w:rPr>
          <w:rFonts w:ascii="ＭＳ ゴシック" w:eastAsia="ＭＳ ゴシック" w:hAnsi="ＭＳ ゴシック" w:hint="eastAsia"/>
        </w:rPr>
        <w:t>少子高齢化がさらに進むことが見込まれる中、人材教育を担う優秀な教員を県内外から確保することや、教員を志望する生徒を育てる指導、働き方改革の観点も踏まえた充実した教育環境の整備が重要であると考えるがどうか、所見を問う。</w:t>
      </w:r>
    </w:p>
    <w:p w:rsidR="00224B64" w:rsidRDefault="00224B64" w:rsidP="00224B64">
      <w:pPr>
        <w:ind w:firstLineChars="100" w:firstLine="240"/>
        <w:rPr>
          <w:rFonts w:ascii="ＭＳ 明朝" w:hint="eastAsia"/>
        </w:rPr>
      </w:pPr>
      <w:r>
        <w:rPr>
          <w:rFonts w:ascii="ＭＳ 明朝" w:hint="eastAsia"/>
        </w:rPr>
        <w:t>臨任講師も含め、学校現場で必要な教員が配置されないと、本県の高い教育水準にも影響を及ぼしかねないことが懸念される。</w:t>
      </w:r>
    </w:p>
    <w:bookmarkEnd w:id="0"/>
    <w:p w:rsidR="00224B64" w:rsidRDefault="00224B64" w:rsidP="00224B64">
      <w:pPr>
        <w:rPr>
          <w:rFonts w:ascii="ＭＳ 明朝" w:hint="eastAsia"/>
        </w:rPr>
      </w:pPr>
      <w:r>
        <w:rPr>
          <w:rFonts w:ascii="ＭＳ 明朝" w:hint="eastAsia"/>
        </w:rPr>
        <w:t>（知　事）教育委員会</w:t>
      </w:r>
    </w:p>
    <w:p w:rsidR="00224B64" w:rsidRDefault="00224B64" w:rsidP="00224B64">
      <w:pPr>
        <w:rPr>
          <w:rFonts w:ascii="ＭＳ ゴシック" w:eastAsia="ＭＳ ゴシック" w:hAnsi="ＭＳ ゴシック" w:hint="eastAsia"/>
          <w:u w:val="single"/>
        </w:rPr>
      </w:pPr>
    </w:p>
    <w:p w:rsidR="00224B64" w:rsidRDefault="00224B64" w:rsidP="00224B64">
      <w:pPr>
        <w:rPr>
          <w:rFonts w:ascii="ＭＳ ゴシック" w:eastAsia="ＭＳ ゴシック" w:hAnsi="ＭＳ ゴシック" w:hint="eastAsia"/>
          <w:u w:val="single"/>
        </w:rPr>
      </w:pPr>
    </w:p>
    <w:p w:rsidR="00224B64" w:rsidRDefault="00224B64" w:rsidP="00224B64">
      <w:pPr>
        <w:rPr>
          <w:rFonts w:ascii="ＭＳ ゴシック" w:eastAsia="ＭＳ ゴシック" w:hAnsi="ＭＳ ゴシック" w:hint="eastAsia"/>
          <w:u w:val="single"/>
        </w:rPr>
      </w:pPr>
      <w:r>
        <w:rPr>
          <w:rFonts w:ascii="ＭＳ ゴシック" w:eastAsia="ＭＳ ゴシック" w:hAnsi="ＭＳ ゴシック" w:hint="eastAsia"/>
          <w:u w:val="single"/>
        </w:rPr>
        <w:t>問２　高齢社会への対応について</w:t>
      </w:r>
    </w:p>
    <w:p w:rsidR="00224B64" w:rsidRDefault="00224B64" w:rsidP="00224B64">
      <w:pPr>
        <w:rPr>
          <w:rFonts w:ascii="ＭＳ ゴシック" w:eastAsia="ＭＳ ゴシック" w:hAnsi="ＭＳ ゴシック"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（１）県内の交通事故数は昨年まで18年連続で減少したと聞くが、そのうち高齢者が関係する件数の推移や特徴、高齢者が加害者になった事故の割合や推移について、問う。</w:t>
      </w:r>
    </w:p>
    <w:p w:rsidR="00224B64" w:rsidRDefault="00224B64" w:rsidP="00224B64">
      <w:pPr>
        <w:rPr>
          <w:rFonts w:ascii="ＭＳ 明朝" w:hAnsi="ＭＳ 明朝" w:hint="eastAsia"/>
        </w:rPr>
      </w:pPr>
      <w:r>
        <w:rPr>
          <w:rFonts w:ascii="ＭＳ 明朝" w:hAnsi="ＭＳ 明朝" w:hint="eastAsia"/>
        </w:rPr>
        <w:t>（警察本部長）</w:t>
      </w:r>
    </w:p>
    <w:p w:rsidR="00224B64" w:rsidRDefault="00224B64" w:rsidP="00224B64">
      <w:pPr>
        <w:rPr>
          <w:rFonts w:ascii="ＭＳ 明朝" w:hAnsi="ＭＳ 明朝"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（２）高齢ドライバーに特有の危険性や事故の原因を踏まえた講習会の開催などにより、高齢者が生活の質を落とさずに暮らし続けるための積極的な対策を講ずるべきと考えるがどうか、問う。</w:t>
      </w:r>
    </w:p>
    <w:p w:rsidR="00224B64" w:rsidRDefault="00224B64" w:rsidP="00224B64">
      <w:pPr>
        <w:rPr>
          <w:rFonts w:ascii="ＭＳ 明朝" w:hAnsi="ＭＳ 明朝" w:hint="eastAsia"/>
        </w:rPr>
      </w:pPr>
      <w:r>
        <w:rPr>
          <w:rFonts w:ascii="ＭＳ 明朝" w:hAnsi="ＭＳ 明朝" w:hint="eastAsia"/>
        </w:rPr>
        <w:t>（警察本部長）</w:t>
      </w:r>
    </w:p>
    <w:p w:rsidR="00224B64" w:rsidRDefault="00224B64" w:rsidP="00224B64">
      <w:pPr>
        <w:rPr>
          <w:rFonts w:ascii="ＭＳ 明朝" w:hAnsi="ＭＳ 明朝"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３）シニアカーは、高齢者の行動範囲を広め、生活の質の向上に資するが、普及が進むとともに交通事故の発生も懸念されることから、安全利用の啓発など何らかの安全対策が必要と考える。本県における交通事故発生状況や安全対策について、問う。</w:t>
      </w:r>
    </w:p>
    <w:p w:rsidR="00224B64" w:rsidRDefault="00224B64" w:rsidP="00224B64">
      <w:pPr>
        <w:ind w:firstLineChars="100" w:firstLine="240"/>
        <w:rPr>
          <w:rFonts w:ascii="ＭＳ 明朝" w:hAnsi="ＭＳ 明朝" w:hint="eastAsia"/>
        </w:rPr>
      </w:pPr>
      <w:r>
        <w:rPr>
          <w:rFonts w:ascii="ＭＳ 明朝" w:hAnsi="ＭＳ 明朝" w:hint="eastAsia"/>
        </w:rPr>
        <w:t>電動車いす安全普及協会によると、全国で年間２万台以上出荷されているが、歩道での歩行者との衝突事故などが発生している。</w:t>
      </w:r>
    </w:p>
    <w:p w:rsidR="00224B64" w:rsidRDefault="00224B64" w:rsidP="00224B64">
      <w:pPr>
        <w:rPr>
          <w:rFonts w:ascii="ＭＳ 明朝" w:hAnsi="ＭＳ 明朝" w:hint="eastAsia"/>
        </w:rPr>
      </w:pPr>
      <w:r>
        <w:rPr>
          <w:rFonts w:ascii="ＭＳ 明朝" w:hAnsi="ＭＳ 明朝" w:hint="eastAsia"/>
        </w:rPr>
        <w:t>（警察本部長）</w:t>
      </w:r>
    </w:p>
    <w:p w:rsidR="00224B64" w:rsidRDefault="00224B64" w:rsidP="00224B64">
      <w:pPr>
        <w:rPr>
          <w:rFonts w:ascii="ＭＳ 明朝" w:hAnsi="ＭＳ 明朝" w:hint="eastAsia"/>
        </w:rPr>
      </w:pPr>
    </w:p>
    <w:p w:rsidR="00224B64" w:rsidRDefault="00224B64" w:rsidP="00224B64">
      <w:pPr>
        <w:rPr>
          <w:rFonts w:ascii="ＭＳ ゴシック" w:eastAsia="ＭＳ ゴシック" w:hAnsi="ＭＳ ゴシック"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（４）本県の電動アシスト付も含めた自転車事故の状況と、事故の防止に向けた今後の取組みについて、問う。</w:t>
      </w:r>
    </w:p>
    <w:p w:rsidR="00224B64" w:rsidRDefault="00224B64" w:rsidP="00224B64">
      <w:pPr>
        <w:ind w:firstLineChars="100" w:firstLine="240"/>
        <w:rPr>
          <w:rFonts w:ascii="ＭＳ 明朝" w:hAnsi="ＭＳ 明朝" w:hint="eastAsia"/>
        </w:rPr>
      </w:pPr>
      <w:r>
        <w:rPr>
          <w:rFonts w:ascii="ＭＳ 明朝" w:hAnsi="ＭＳ 明朝" w:hint="eastAsia"/>
        </w:rPr>
        <w:t>電動アシスト付自転車は、高齢者の移動手段として有用だが、道路交通法上自転車扱いで自賠責保険への加入が不要な一方、軽い力でも速度が出やすく事故の危険性が懸念される。</w:t>
      </w:r>
    </w:p>
    <w:p w:rsidR="00224B64" w:rsidRDefault="00224B64" w:rsidP="00224B64">
      <w:pPr>
        <w:rPr>
          <w:rFonts w:ascii="ＭＳ 明朝" w:hAnsi="ＭＳ 明朝" w:hint="eastAsia"/>
        </w:rPr>
      </w:pPr>
      <w:r>
        <w:rPr>
          <w:rFonts w:ascii="ＭＳ 明朝" w:hAnsi="ＭＳ 明朝" w:hint="eastAsia"/>
        </w:rPr>
        <w:t>（警察本部長）</w:t>
      </w:r>
    </w:p>
    <w:p w:rsidR="00224B64" w:rsidRDefault="00224B64" w:rsidP="00224B64">
      <w:pPr>
        <w:rPr>
          <w:rFonts w:ascii="ＭＳ 明朝" w:hAnsi="ＭＳ 明朝" w:hint="eastAsia"/>
          <w:color w:val="FF0000"/>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（５）電動アシスト付も含めた自転車について、保険への加入義務付けを検討すべきと考えるがどうか、問う。</w:t>
      </w:r>
    </w:p>
    <w:p w:rsidR="00224B64" w:rsidRDefault="00224B64" w:rsidP="00224B64">
      <w:pPr>
        <w:ind w:firstLineChars="100" w:firstLine="240"/>
        <w:rPr>
          <w:rFonts w:ascii="ＭＳ 明朝" w:hAnsi="ＭＳ 明朝" w:hint="eastAsia"/>
        </w:rPr>
      </w:pPr>
      <w:r>
        <w:rPr>
          <w:rFonts w:ascii="ＭＳ 明朝" w:hAnsi="ＭＳ 明朝" w:hint="eastAsia"/>
        </w:rPr>
        <w:t>兵庫県が全国で初めて自転車利用者に保険加入を義務付ける条例を施行するなど、自転車保険の加入を条例で義務付ける自治体が増えている。</w:t>
      </w:r>
    </w:p>
    <w:p w:rsidR="00224B64" w:rsidRDefault="00224B64" w:rsidP="00224B64">
      <w:pPr>
        <w:rPr>
          <w:rFonts w:ascii="ＭＳ 明朝" w:hAnsi="ＭＳ 明朝" w:hint="eastAsia"/>
        </w:rPr>
      </w:pPr>
      <w:r>
        <w:rPr>
          <w:rFonts w:ascii="ＭＳ 明朝" w:hAnsi="ＭＳ 明朝" w:hint="eastAsia"/>
        </w:rPr>
        <w:t>（総合政策局長）</w:t>
      </w:r>
    </w:p>
    <w:p w:rsidR="00224B64" w:rsidRDefault="00224B64" w:rsidP="00224B64">
      <w:pPr>
        <w:rPr>
          <w:rFonts w:ascii="ＭＳ ゴシック" w:eastAsia="ＭＳ ゴシック" w:hAnsi="ＭＳ ゴシック" w:hint="eastAsia"/>
          <w:color w:val="FF0000"/>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６）人手不足が多くの業界に広がる中、働く意欲ある高齢者が培った技術や経験を活かして働き続けられるよう、高齢者の人材確保対策が重要と考えるが、県内における高齢者の雇用状況や高齢者の多様な就業機会の創出に向けた取組みについて、問う。</w:t>
      </w:r>
    </w:p>
    <w:p w:rsidR="00224B64" w:rsidRDefault="00224B64" w:rsidP="00224B64">
      <w:pPr>
        <w:ind w:firstLineChars="100" w:firstLine="240"/>
        <w:rPr>
          <w:rFonts w:ascii="ＭＳ 明朝" w:hAnsi="ＭＳ 明朝" w:hint="eastAsia"/>
        </w:rPr>
      </w:pPr>
      <w:r>
        <w:rPr>
          <w:rFonts w:ascii="ＭＳ 明朝" w:hAnsi="ＭＳ 明朝" w:hint="eastAsia"/>
        </w:rPr>
        <w:t>高齢者には、より柔軟な就業形態等により、健康に無理のない形で多様なライフスタイルを選択できる就業機会を提供すべきと考える。</w:t>
      </w:r>
    </w:p>
    <w:p w:rsidR="00224B64" w:rsidRDefault="00224B64" w:rsidP="00224B64">
      <w:pPr>
        <w:rPr>
          <w:rFonts w:ascii="ＭＳ 明朝" w:hAnsi="ＭＳ 明朝" w:hint="eastAsia"/>
        </w:rPr>
      </w:pPr>
      <w:r>
        <w:rPr>
          <w:rFonts w:ascii="ＭＳ 明朝" w:hAnsi="ＭＳ 明朝" w:hint="eastAsia"/>
        </w:rPr>
        <w:t>（知　事）商工労働部</w:t>
      </w:r>
    </w:p>
    <w:p w:rsidR="00224B64" w:rsidRDefault="00224B64" w:rsidP="00224B64">
      <w:pPr>
        <w:rPr>
          <w:rFonts w:ascii="ＭＳ 明朝" w:hAnsi="ＭＳ 明朝" w:hint="eastAsia"/>
        </w:rPr>
      </w:pPr>
    </w:p>
    <w:p w:rsidR="00224B64" w:rsidRDefault="00224B64" w:rsidP="00224B64">
      <w:pPr>
        <w:rPr>
          <w:rFonts w:ascii="ＭＳ 明朝" w:hAnsi="ＭＳ 明朝" w:hint="eastAsia"/>
          <w:color w:val="FF0000"/>
        </w:rPr>
      </w:pPr>
    </w:p>
    <w:p w:rsidR="00224B64" w:rsidRDefault="00224B64" w:rsidP="00224B64">
      <w:pPr>
        <w:rPr>
          <w:rFonts w:ascii="ＭＳ ゴシック" w:eastAsia="ＭＳ ゴシック" w:hAnsi="ＭＳ ゴシック" w:hint="eastAsia"/>
          <w:u w:val="single"/>
        </w:rPr>
      </w:pPr>
      <w:r>
        <w:rPr>
          <w:rFonts w:ascii="ＭＳ ゴシック" w:eastAsia="ＭＳ ゴシック" w:hAnsi="ＭＳ ゴシック" w:hint="eastAsia"/>
          <w:u w:val="single"/>
        </w:rPr>
        <w:t>問３　成年年齢の引下げについて</w:t>
      </w:r>
    </w:p>
    <w:p w:rsidR="00224B64" w:rsidRDefault="00224B64" w:rsidP="00224B64">
      <w:pPr>
        <w:rPr>
          <w:rFonts w:ascii="ＭＳ ゴシック" w:eastAsia="ＭＳ ゴシック" w:hAnsi="ＭＳ ゴシック"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（１）成年年齢の引下げに伴い、成人式が従来どおり１月に開催されるとすれば、高校３年生にとって大学受験や就職を控える多忙な時期の開催となり、また、18</w:t>
      </w:r>
      <w:r>
        <w:rPr>
          <w:rFonts w:ascii="ＭＳ ゴシック" w:eastAsia="ＭＳ ゴシック" w:hAnsi="ＭＳ ゴシック" w:hint="eastAsia"/>
        </w:rPr>
        <w:lastRenderedPageBreak/>
        <w:t>歳で親の同意なしに契約可能となることから、消費者被害に遭わないための教育も重要だが、これらの問題をどう捉えているのか、問う。</w:t>
      </w:r>
    </w:p>
    <w:p w:rsidR="00224B64" w:rsidRDefault="00224B64" w:rsidP="00224B64">
      <w:pPr>
        <w:rPr>
          <w:rFonts w:ascii="ＭＳ 明朝" w:hAnsi="ＭＳ 明朝" w:hint="eastAsia"/>
        </w:rPr>
      </w:pPr>
      <w:r>
        <w:rPr>
          <w:rFonts w:ascii="ＭＳ 明朝" w:hAnsi="ＭＳ 明朝" w:hint="eastAsia"/>
        </w:rPr>
        <w:t>（教育長）総合政策局、生活環境文化部協議</w:t>
      </w:r>
    </w:p>
    <w:p w:rsidR="00224B64" w:rsidRDefault="00224B64" w:rsidP="00224B64">
      <w:pPr>
        <w:rPr>
          <w:rFonts w:ascii="ＭＳ ゴシック" w:eastAsia="ＭＳ ゴシック" w:hAnsi="ＭＳ ゴシック" w:hint="eastAsia"/>
          <w:color w:val="FF0000"/>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（２）「20歳の集い」としての成人式について</w:t>
      </w: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ア　県内市町村の2022年の成人式に関する検討状況はどうか、問う。</w:t>
      </w:r>
    </w:p>
    <w:p w:rsidR="00224B64" w:rsidRDefault="00224B64" w:rsidP="00224B64">
      <w:pPr>
        <w:ind w:firstLineChars="100" w:firstLine="240"/>
        <w:rPr>
          <w:rFonts w:ascii="ＭＳ 明朝" w:hAnsi="ＭＳ 明朝" w:hint="eastAsia"/>
        </w:rPr>
      </w:pPr>
      <w:r>
        <w:rPr>
          <w:rFonts w:ascii="ＭＳ 明朝" w:hAnsi="ＭＳ 明朝" w:hint="eastAsia"/>
        </w:rPr>
        <w:t>成人式の対象年齢を18歳にした場合、初年度である2022年度は、18歳に加え、まだ成人式に出席していない19、20歳も対象となり、通常の３倍の規模になる。</w:t>
      </w:r>
    </w:p>
    <w:p w:rsidR="00224B64" w:rsidRDefault="00224B64" w:rsidP="00224B64">
      <w:pPr>
        <w:rPr>
          <w:rFonts w:ascii="ＭＳ 明朝" w:hAnsi="ＭＳ 明朝" w:hint="eastAsia"/>
        </w:rPr>
      </w:pPr>
      <w:r>
        <w:rPr>
          <w:rFonts w:ascii="ＭＳ 明朝" w:hAnsi="ＭＳ 明朝" w:hint="eastAsia"/>
        </w:rPr>
        <w:t>（教育長）</w:t>
      </w:r>
    </w:p>
    <w:p w:rsidR="00224B64" w:rsidRDefault="00224B64" w:rsidP="00224B64">
      <w:pPr>
        <w:rPr>
          <w:rFonts w:ascii="ＭＳ ゴシック" w:eastAsia="ＭＳ ゴシック" w:hAnsi="ＭＳ ゴシック" w:hint="eastAsia"/>
          <w:color w:val="FF0000"/>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イ　「20歳の集い」としての成人式は、卒業後、県外に出た県内出身者が地元の良さを再認識し、Ｕターンの契機となり得る良い機会であると考えるが、地元の良さを再認識する機会として、市町村が「20歳の集い」としての成人式を開催するよう働きかけてはどうか、問う。</w:t>
      </w:r>
    </w:p>
    <w:p w:rsidR="00224B64" w:rsidRDefault="00224B64" w:rsidP="00224B64">
      <w:pPr>
        <w:rPr>
          <w:rFonts w:ascii="ＭＳ 明朝" w:hAnsi="ＭＳ 明朝" w:hint="eastAsia"/>
        </w:rPr>
      </w:pPr>
      <w:r>
        <w:rPr>
          <w:rFonts w:ascii="ＭＳ 明朝" w:hAnsi="ＭＳ 明朝" w:hint="eastAsia"/>
        </w:rPr>
        <w:t>（総合政策局長）</w:t>
      </w:r>
    </w:p>
    <w:p w:rsidR="00224B64" w:rsidRDefault="00224B64" w:rsidP="00224B64">
      <w:pPr>
        <w:rPr>
          <w:rFonts w:ascii="ＭＳ 明朝" w:hAnsi="ＭＳ 明朝" w:hint="eastAsia"/>
          <w:color w:val="FF0000"/>
        </w:rPr>
      </w:pPr>
    </w:p>
    <w:p w:rsidR="00224B64" w:rsidRDefault="00224B64" w:rsidP="00224B64">
      <w:pPr>
        <w:rPr>
          <w:rFonts w:ascii="ＭＳ 明朝" w:hAnsi="ＭＳ 明朝" w:hint="eastAsia"/>
          <w:color w:val="FF0000"/>
        </w:rPr>
      </w:pPr>
    </w:p>
    <w:p w:rsidR="00224B64" w:rsidRDefault="00224B64" w:rsidP="00224B64">
      <w:pPr>
        <w:rPr>
          <w:rFonts w:ascii="ＭＳ ゴシック" w:eastAsia="ＭＳ ゴシック" w:hAnsi="ＭＳ ゴシック" w:hint="eastAsia"/>
          <w:u w:val="single"/>
        </w:rPr>
      </w:pPr>
    </w:p>
    <w:p w:rsidR="00224B64" w:rsidRDefault="00224B64" w:rsidP="00224B64">
      <w:pPr>
        <w:rPr>
          <w:rFonts w:ascii="ＭＳ ゴシック" w:eastAsia="ＭＳ ゴシック" w:hAnsi="ＭＳ ゴシック" w:hint="eastAsia"/>
          <w:u w:val="single"/>
        </w:rPr>
      </w:pPr>
      <w:r>
        <w:rPr>
          <w:rFonts w:ascii="ＭＳ ゴシック" w:eastAsia="ＭＳ ゴシック" w:hAnsi="ＭＳ ゴシック" w:hint="eastAsia"/>
          <w:u w:val="single"/>
        </w:rPr>
        <w:t>問４　消費税率の引上げについて</w:t>
      </w:r>
    </w:p>
    <w:p w:rsidR="00224B64" w:rsidRDefault="00224B64" w:rsidP="00224B64">
      <w:pPr>
        <w:rPr>
          <w:rFonts w:ascii="ＭＳ 明朝" w:hAnsi="ＭＳ 明朝"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（１）国の「レジ・システム補助金」の概要と県内からの申請状況について、問う。</w:t>
      </w:r>
    </w:p>
    <w:p w:rsidR="00224B64" w:rsidRDefault="00224B64" w:rsidP="00224B64">
      <w:pPr>
        <w:ind w:firstLineChars="100" w:firstLine="240"/>
        <w:rPr>
          <w:rFonts w:ascii="ＭＳ 明朝" w:hAnsi="ＭＳ 明朝" w:hint="eastAsia"/>
        </w:rPr>
      </w:pPr>
      <w:r>
        <w:rPr>
          <w:rFonts w:ascii="ＭＳ 明朝" w:hAnsi="ＭＳ 明朝" w:hint="eastAsia"/>
        </w:rPr>
        <w:t>軽減税率が導入されることに伴い、中小・小規模事業者を対象にした複数税率対応レジの購入などを支援する「レジ・システム補助金」が設けられたが、先月末までの申請は当初見込みの約３分の１と聞く。</w:t>
      </w:r>
    </w:p>
    <w:p w:rsidR="00224B64" w:rsidRDefault="00224B64" w:rsidP="00224B64">
      <w:pPr>
        <w:rPr>
          <w:rFonts w:ascii="ＭＳ 明朝" w:hAnsi="ＭＳ 明朝" w:hint="eastAsia"/>
        </w:rPr>
      </w:pPr>
      <w:r>
        <w:rPr>
          <w:rFonts w:ascii="ＭＳ 明朝" w:hAnsi="ＭＳ 明朝" w:hint="eastAsia"/>
        </w:rPr>
        <w:t>（商工労働部長）</w:t>
      </w:r>
    </w:p>
    <w:p w:rsidR="00224B64" w:rsidRDefault="00224B64" w:rsidP="00224B64">
      <w:pPr>
        <w:rPr>
          <w:rFonts w:ascii="ＭＳ ゴシック" w:eastAsia="ＭＳ ゴシック" w:hAnsi="ＭＳ ゴシック"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（２）県内の中小の小売店でのキャッシュレス決済の積極的な活用に向けた課題や県としての今後の対応について、問う。</w:t>
      </w:r>
    </w:p>
    <w:p w:rsidR="00224B64" w:rsidRDefault="00224B64" w:rsidP="00224B64">
      <w:pPr>
        <w:ind w:firstLineChars="100" w:firstLine="240"/>
        <w:rPr>
          <w:rFonts w:ascii="ＭＳ 明朝" w:hAnsi="ＭＳ 明朝" w:hint="eastAsia"/>
        </w:rPr>
      </w:pPr>
      <w:r>
        <w:rPr>
          <w:rFonts w:ascii="ＭＳ 明朝" w:hAnsi="ＭＳ 明朝" w:hint="eastAsia"/>
        </w:rPr>
        <w:t>キャッシュレス決済の導入に要する決済端末の費用や現金決済では不要である手数料が、中小の小売店がキャッシュレス決済の導入を拒む理由になっていると聞く。</w:t>
      </w:r>
    </w:p>
    <w:p w:rsidR="00224B64" w:rsidRDefault="00224B64" w:rsidP="00224B64">
      <w:pPr>
        <w:rPr>
          <w:rFonts w:ascii="ＭＳ 明朝" w:hAnsi="ＭＳ 明朝" w:hint="eastAsia"/>
        </w:rPr>
      </w:pPr>
      <w:r>
        <w:rPr>
          <w:rFonts w:ascii="ＭＳ 明朝" w:hAnsi="ＭＳ 明朝" w:hint="eastAsia"/>
        </w:rPr>
        <w:t>（商工労働部長）</w:t>
      </w:r>
    </w:p>
    <w:p w:rsidR="00224B64" w:rsidRDefault="00224B64" w:rsidP="00224B64">
      <w:pPr>
        <w:rPr>
          <w:rFonts w:ascii="ＭＳ 明朝" w:hAnsi="ＭＳ 明朝" w:hint="eastAsia"/>
        </w:rPr>
      </w:pPr>
    </w:p>
    <w:p w:rsidR="00224B64" w:rsidRDefault="00224B64" w:rsidP="00224B64">
      <w:pPr>
        <w:rPr>
          <w:rFonts w:ascii="ＭＳ ゴシック" w:eastAsia="ＭＳ ゴシック" w:hAnsi="ＭＳ ゴシック" w:hint="eastAsia"/>
        </w:rPr>
      </w:pPr>
      <w:r>
        <w:rPr>
          <w:rFonts w:ascii="ＭＳ ゴシック" w:eastAsia="ＭＳ ゴシック" w:hAnsi="ＭＳ ゴシック" w:hint="eastAsia"/>
        </w:rPr>
        <w:t>（３）消費税率の引上げに伴う対応について、県として、今後、中小企業者へど</w:t>
      </w:r>
      <w:r>
        <w:rPr>
          <w:rFonts w:ascii="ＭＳ ゴシック" w:eastAsia="ＭＳ ゴシック" w:hAnsi="ＭＳ ゴシック" w:hint="eastAsia"/>
        </w:rPr>
        <w:lastRenderedPageBreak/>
        <w:t>のような支援を行っていくのか、問う。</w:t>
      </w:r>
    </w:p>
    <w:p w:rsidR="00224B64" w:rsidRDefault="00224B64" w:rsidP="00224B64">
      <w:pPr>
        <w:ind w:firstLineChars="100" w:firstLine="240"/>
        <w:rPr>
          <w:rFonts w:ascii="ＭＳ 明朝" w:hAnsi="ＭＳ 明朝" w:hint="eastAsia"/>
        </w:rPr>
      </w:pPr>
      <w:r>
        <w:rPr>
          <w:rFonts w:ascii="ＭＳ 明朝" w:hAnsi="ＭＳ 明朝" w:hint="eastAsia"/>
        </w:rPr>
        <w:t>軽減税率導入の課題として、制度の理解、従業員教育のほか、値札等の変更、経理事務の負担増が上位を占めると聞くが、多くの中小企業は準備不足と聞く。また、前回の引上げの際には、価格転嫁が十分にできないなどの事案も発生したと記憶している。</w:t>
      </w:r>
    </w:p>
    <w:p w:rsidR="00224B64" w:rsidRDefault="00224B64" w:rsidP="00224B64">
      <w:pPr>
        <w:rPr>
          <w:rFonts w:ascii="ＭＳ ゴシック" w:eastAsia="ＭＳ ゴシック" w:hAnsi="ＭＳ ゴシック" w:hint="eastAsia"/>
        </w:rPr>
      </w:pPr>
      <w:r>
        <w:rPr>
          <w:rFonts w:ascii="ＭＳ 明朝" w:hAnsi="ＭＳ 明朝" w:hint="eastAsia"/>
        </w:rPr>
        <w:t>（知　事）商工労働部</w: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4754880</wp:posOffset>
                </wp:positionH>
                <wp:positionV relativeFrom="paragraph">
                  <wp:posOffset>294005</wp:posOffset>
                </wp:positionV>
                <wp:extent cx="1348740" cy="15621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740" cy="1562100"/>
                        </a:xfrm>
                        <a:prstGeom prst="rect">
                          <a:avLst/>
                        </a:prstGeom>
                        <a:noFill/>
                        <a:ln w="25400" cap="flat" cmpd="sng" algn="ctr">
                          <a:noFill/>
                          <a:prstDash val="solid"/>
                        </a:ln>
                        <a:effectLst/>
                      </wps:spPr>
                      <wps:txbx>
                        <w:txbxContent>
                          <w:p w:rsidR="00224B64" w:rsidRDefault="00224B64" w:rsidP="00224B64">
                            <w:pPr>
                              <w:jc w:val="center"/>
                              <w:rPr>
                                <w:rFonts w:ascii="ＭＳ ゴシック" w:eastAsia="ＭＳ ゴシック" w:hAnsi="ＭＳ ゴシック" w:hint="eastAsia"/>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 o:spid="_x0000_s1026" style="position:absolute;left:0;text-align:left;margin-left:374.4pt;margin-top:23.15pt;width:106.2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" filled="f" stroked="f" strokeweight="2pt">
                <v:textbox>
                  <w:txbxContent>
                    <w:p w:rsidR="00224B64" w:rsidRDefault="00224B64" w:rsidP="00224B64">
                      <w:pPr>
                        <w:jc w:val="center"/>
                        <w:rPr>
                          <w:rFonts w:ascii="ＭＳ ゴシック" w:eastAsia="ＭＳ ゴシック" w:hAnsi="ＭＳ ゴシック" w:hint="eastAsia"/>
                          <w:sz w:val="44"/>
                          <w:szCs w:val="44"/>
                        </w:rPr>
                      </w:pPr>
                    </w:p>
                  </w:txbxContent>
                </v:textbox>
              </v:rect>
            </w:pict>
          </mc:Fallback>
        </mc:AlternateContent>
      </w:r>
    </w:p>
    <w:p w:rsidR="00A97639" w:rsidRPr="00224B64" w:rsidRDefault="00A97639">
      <w:bookmarkStart w:id="1" w:name="_GoBack"/>
      <w:bookmarkEnd w:id="1"/>
    </w:p>
    <w:sectPr w:rsidR="00A97639" w:rsidRPr="00224B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B02D3"/>
    <w:multiLevelType w:val="hybridMultilevel"/>
    <w:tmpl w:val="261E9878"/>
    <w:lvl w:ilvl="0" w:tplc="69BEFD0A">
      <w:start w:val="1"/>
      <w:numFmt w:val="decimalEnclosedCircle"/>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64"/>
    <w:rsid w:val="00224B64"/>
    <w:rsid w:val="00A9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717C4"/>
  <w15:chartTrackingRefBased/>
  <w15:docId w15:val="{0F10D362-73B5-4239-85C0-84AA188E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B6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224B64"/>
    <w:pPr>
      <w:jc w:val="right"/>
    </w:pPr>
    <w:rPr>
      <w:color w:val="000000"/>
      <w:sz w:val="40"/>
      <w:szCs w:val="22"/>
    </w:rPr>
  </w:style>
  <w:style w:type="character" w:customStyle="1" w:styleId="a4">
    <w:name w:val="結語 (文字)"/>
    <w:basedOn w:val="a0"/>
    <w:link w:val="a3"/>
    <w:uiPriority w:val="99"/>
    <w:semiHidden/>
    <w:rsid w:val="00224B64"/>
    <w:rPr>
      <w:rFonts w:ascii="Century" w:eastAsia="ＭＳ 明朝" w:hAnsi="Century" w:cs="Times New Roman"/>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gaku32000@gmail.com</dc:creator>
  <cp:keywords/>
  <dc:description/>
  <cp:lastModifiedBy>gaku32000@gmail.com</cp:lastModifiedBy>
  <cp:revision>1</cp:revision>
  <dcterms:created xsi:type="dcterms:W3CDTF">2019-06-30T04:45:00Z</dcterms:created>
  <dcterms:modified xsi:type="dcterms:W3CDTF">2019-06-30T04:47:00Z</dcterms:modified>
</cp:coreProperties>
</file>